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E5A9" w14:textId="5C6248FE" w:rsidR="003C6C63" w:rsidRDefault="00000000" w:rsidP="00035C6B">
      <w:pPr>
        <w:spacing w:after="0" w:line="259" w:lineRule="auto"/>
        <w:ind w:left="0" w:firstLine="0"/>
        <w:jc w:val="center"/>
      </w:pPr>
      <w:r>
        <w:rPr>
          <w:b/>
          <w:sz w:val="28"/>
        </w:rPr>
        <w:t>Additional Measure for the 2030 ERP</w:t>
      </w:r>
      <w:r w:rsidR="000155D3">
        <w:rPr>
          <w:b/>
          <w:sz w:val="28"/>
        </w:rPr>
        <w:t xml:space="preserve">: </w:t>
      </w:r>
      <w:r w:rsidR="00E5709E">
        <w:rPr>
          <w:b/>
          <w:sz w:val="28"/>
        </w:rPr>
        <w:t xml:space="preserve"> </w:t>
      </w:r>
      <w:r w:rsidR="000155D3">
        <w:rPr>
          <w:b/>
          <w:sz w:val="28"/>
        </w:rPr>
        <w:br/>
        <w:t>Deploy Net-Zero Procurement across</w:t>
      </w:r>
      <w:r w:rsidR="0075793B">
        <w:rPr>
          <w:b/>
          <w:sz w:val="28"/>
        </w:rPr>
        <w:t xml:space="preserve"> </w:t>
      </w:r>
      <w:r w:rsidR="000155D3">
        <w:rPr>
          <w:b/>
          <w:sz w:val="28"/>
        </w:rPr>
        <w:t>all levels of government in Canada</w:t>
      </w:r>
    </w:p>
    <w:p w14:paraId="3C526F3E" w14:textId="77777777" w:rsidR="003C6C63" w:rsidRDefault="00000000">
      <w:pPr>
        <w:spacing w:after="137" w:line="259" w:lineRule="auto"/>
        <w:ind w:left="266" w:firstLine="0"/>
        <w:jc w:val="center"/>
      </w:pPr>
      <w:r>
        <w:rPr>
          <w:sz w:val="24"/>
        </w:rPr>
        <w:t xml:space="preserve"> </w:t>
      </w:r>
    </w:p>
    <w:p w14:paraId="41827843" w14:textId="77777777" w:rsidR="003C6C63" w:rsidRDefault="00000000">
      <w:pPr>
        <w:pStyle w:val="Heading1"/>
        <w:ind w:left="-5"/>
      </w:pPr>
      <w:r>
        <w:t>Purpose</w:t>
      </w:r>
      <w:r>
        <w:rPr>
          <w:b w:val="0"/>
          <w:sz w:val="24"/>
        </w:rPr>
        <w:t xml:space="preserve"> </w:t>
      </w:r>
    </w:p>
    <w:p w14:paraId="55D6C26A" w14:textId="00787CDF" w:rsidR="00842A6C" w:rsidRDefault="00000000">
      <w:pPr>
        <w:ind w:left="-5"/>
        <w:rPr>
          <w:sz w:val="24"/>
        </w:rPr>
      </w:pPr>
      <w:r w:rsidRPr="001A63B3">
        <w:rPr>
          <w:sz w:val="24"/>
        </w:rPr>
        <w:t xml:space="preserve">This briefing note outlines how deploying Net-Zero Procurement (NZP) with speed and scale </w:t>
      </w:r>
      <w:r w:rsidR="0075793B" w:rsidRPr="001A63B3">
        <w:rPr>
          <w:sz w:val="24"/>
        </w:rPr>
        <w:t>across</w:t>
      </w:r>
      <w:r w:rsidRPr="001A63B3">
        <w:rPr>
          <w:sz w:val="24"/>
        </w:rPr>
        <w:t xml:space="preserve"> </w:t>
      </w:r>
      <w:r w:rsidR="00361010" w:rsidRPr="001A63B3">
        <w:rPr>
          <w:sz w:val="24"/>
        </w:rPr>
        <w:t>a</w:t>
      </w:r>
      <w:r w:rsidR="000A0A85" w:rsidRPr="001A63B3">
        <w:rPr>
          <w:sz w:val="24"/>
        </w:rPr>
        <w:t>ll levels of government</w:t>
      </w:r>
      <w:r w:rsidRPr="001A63B3">
        <w:rPr>
          <w:sz w:val="24"/>
        </w:rPr>
        <w:t xml:space="preserve"> would </w:t>
      </w:r>
      <w:r w:rsidR="0027182E" w:rsidRPr="001A63B3">
        <w:rPr>
          <w:sz w:val="24"/>
        </w:rPr>
        <w:t>financially incentivize</w:t>
      </w:r>
      <w:r w:rsidR="00842A6C">
        <w:rPr>
          <w:sz w:val="24"/>
        </w:rPr>
        <w:t xml:space="preserve"> </w:t>
      </w:r>
      <w:r w:rsidR="00842A6C" w:rsidRPr="00842A6C">
        <w:rPr>
          <w:sz w:val="24"/>
        </w:rPr>
        <w:t>20-25% of Canadian businesses to commit to science-based targets (SBTs), and address 20-25% of Canada’s GHG emission</w:t>
      </w:r>
      <w:r w:rsidR="00D07CF7">
        <w:rPr>
          <w:sz w:val="24"/>
        </w:rPr>
        <w:t>s</w:t>
      </w:r>
      <w:r w:rsidR="00842A6C" w:rsidRPr="00842A6C">
        <w:rPr>
          <w:sz w:val="24"/>
        </w:rPr>
        <w:t>, by 2030.</w:t>
      </w:r>
    </w:p>
    <w:p w14:paraId="2213E495" w14:textId="77777777" w:rsidR="003C6C63" w:rsidRDefault="00000000">
      <w:pPr>
        <w:pStyle w:val="Heading1"/>
        <w:ind w:left="-5"/>
      </w:pPr>
      <w:r>
        <w:t xml:space="preserve">Background context </w:t>
      </w:r>
    </w:p>
    <w:p w14:paraId="7031FA17" w14:textId="5A966804" w:rsidR="001A63B3" w:rsidRDefault="00000000" w:rsidP="0056325B">
      <w:pPr>
        <w:spacing w:after="10"/>
        <w:ind w:left="-5"/>
      </w:pPr>
      <w:r w:rsidRPr="001A63B3">
        <w:rPr>
          <w:sz w:val="24"/>
        </w:rPr>
        <w:t xml:space="preserve">The Canadian Net-Zero Emissions Accountability Act commits the federal Government of Canada (GC) to reducing Canada’s greenhouse gas (GHG) emissions by at least </w:t>
      </w:r>
      <w:r w:rsidR="00BE0D57" w:rsidRPr="001A63B3">
        <w:rPr>
          <w:sz w:val="24"/>
        </w:rPr>
        <w:t xml:space="preserve">20% by 2026, by </w:t>
      </w:r>
      <w:r w:rsidRPr="001A63B3">
        <w:rPr>
          <w:sz w:val="24"/>
        </w:rPr>
        <w:t>40</w:t>
      </w:r>
      <w:r w:rsidR="00BE0D57" w:rsidRPr="001A63B3">
        <w:rPr>
          <w:sz w:val="24"/>
        </w:rPr>
        <w:t>-45</w:t>
      </w:r>
      <w:r w:rsidRPr="001A63B3">
        <w:rPr>
          <w:sz w:val="24"/>
        </w:rPr>
        <w:t>% by 2030, and by 100% by 2050</w:t>
      </w:r>
      <w:r w:rsidR="00BE0D57" w:rsidRPr="001A63B3">
        <w:rPr>
          <w:sz w:val="24"/>
        </w:rPr>
        <w:t xml:space="preserve">, relative to 2005 GHG emissions. </w:t>
      </w:r>
      <w:r w:rsidRPr="001A63B3">
        <w:rPr>
          <w:sz w:val="24"/>
        </w:rPr>
        <w:t xml:space="preserve">The </w:t>
      </w:r>
      <w:hyperlink r:id="rId7">
        <w:r w:rsidR="003C6C63" w:rsidRPr="001A63B3">
          <w:rPr>
            <w:color w:val="0000FF"/>
            <w:sz w:val="24"/>
            <w:u w:val="single" w:color="0000FF"/>
          </w:rPr>
          <w:t>2030 Emissions Reduction Plan (ERP)</w:t>
        </w:r>
      </w:hyperlink>
      <w:hyperlink r:id="rId8">
        <w:r w:rsidR="003C6C63" w:rsidRPr="001A63B3">
          <w:rPr>
            <w:sz w:val="24"/>
          </w:rPr>
          <w:t xml:space="preserve"> </w:t>
        </w:r>
      </w:hyperlink>
      <w:r w:rsidRPr="001A63B3">
        <w:rPr>
          <w:sz w:val="24"/>
        </w:rPr>
        <w:t>includes 117 measures designed to meet those targets. However, the Commissioner of the Environment and Sustainable Development’s audit</w:t>
      </w:r>
      <w:hyperlink r:id="rId9">
        <w:r w:rsidR="003C6C63" w:rsidRPr="001A63B3">
          <w:rPr>
            <w:sz w:val="24"/>
          </w:rPr>
          <w:t xml:space="preserve"> </w:t>
        </w:r>
      </w:hyperlink>
      <w:hyperlink r:id="rId10">
        <w:r w:rsidR="003C6C63" w:rsidRPr="001A63B3">
          <w:rPr>
            <w:color w:val="0000FF"/>
            <w:sz w:val="24"/>
            <w:u w:val="single" w:color="0000FF"/>
          </w:rPr>
          <w:t>report</w:t>
        </w:r>
      </w:hyperlink>
      <w:hyperlink r:id="rId11">
        <w:r w:rsidR="003C6C63" w:rsidRPr="001A63B3">
          <w:rPr>
            <w:sz w:val="24"/>
          </w:rPr>
          <w:t xml:space="preserve"> </w:t>
        </w:r>
      </w:hyperlink>
      <w:r w:rsidR="005E035F" w:rsidRPr="001A63B3">
        <w:rPr>
          <w:sz w:val="24"/>
        </w:rPr>
        <w:t>in December 2023</w:t>
      </w:r>
      <w:r w:rsidRPr="001A63B3">
        <w:rPr>
          <w:sz w:val="24"/>
        </w:rPr>
        <w:t xml:space="preserve"> found that the GC </w:t>
      </w:r>
      <w:r w:rsidR="005E035F" w:rsidRPr="001A63B3">
        <w:rPr>
          <w:sz w:val="24"/>
        </w:rPr>
        <w:t>was</w:t>
      </w:r>
      <w:r w:rsidRPr="001A63B3">
        <w:rPr>
          <w:sz w:val="24"/>
        </w:rPr>
        <w:t xml:space="preserve"> </w:t>
      </w:r>
      <w:r w:rsidRPr="001A63B3">
        <w:rPr>
          <w:i/>
          <w:sz w:val="24"/>
        </w:rPr>
        <w:t>not on track to meet either the 20</w:t>
      </w:r>
      <w:r w:rsidR="007D5DBF" w:rsidRPr="001A63B3">
        <w:rPr>
          <w:i/>
          <w:sz w:val="24"/>
        </w:rPr>
        <w:t>26</w:t>
      </w:r>
      <w:r w:rsidRPr="001A63B3">
        <w:rPr>
          <w:i/>
          <w:sz w:val="24"/>
        </w:rPr>
        <w:t xml:space="preserve"> or 20</w:t>
      </w:r>
      <w:r w:rsidR="007D5DBF" w:rsidRPr="001A63B3">
        <w:rPr>
          <w:i/>
          <w:sz w:val="24"/>
        </w:rPr>
        <w:t>3</w:t>
      </w:r>
      <w:r w:rsidRPr="001A63B3">
        <w:rPr>
          <w:i/>
          <w:sz w:val="24"/>
        </w:rPr>
        <w:t>0 target.</w:t>
      </w:r>
      <w:r w:rsidRPr="001A63B3">
        <w:rPr>
          <w:sz w:val="24"/>
        </w:rPr>
        <w:t xml:space="preserve"> The report encouraged adding additional measures to </w:t>
      </w:r>
      <w:r w:rsidR="00451CB5" w:rsidRPr="001A63B3">
        <w:rPr>
          <w:sz w:val="24"/>
        </w:rPr>
        <w:t>the</w:t>
      </w:r>
      <w:r w:rsidRPr="001A63B3">
        <w:rPr>
          <w:sz w:val="24"/>
        </w:rPr>
        <w:t xml:space="preserve"> ERP.</w:t>
      </w:r>
      <w:r w:rsidR="00451CB5" w:rsidRPr="001A63B3">
        <w:rPr>
          <w:sz w:val="24"/>
        </w:rPr>
        <w:t xml:space="preserve"> </w:t>
      </w:r>
      <w:r w:rsidRPr="001A63B3">
        <w:rPr>
          <w:sz w:val="24"/>
        </w:rPr>
        <w:t xml:space="preserve">Net-Zero Procurement (NZP), deployed with speed and scale across all levels of government in Canada, would be a powerful additional measure to add to </w:t>
      </w:r>
      <w:r w:rsidR="00451CB5" w:rsidRPr="001A63B3">
        <w:rPr>
          <w:sz w:val="24"/>
        </w:rPr>
        <w:t>a revitalized</w:t>
      </w:r>
      <w:r w:rsidRPr="001A63B3">
        <w:rPr>
          <w:sz w:val="24"/>
        </w:rPr>
        <w:t xml:space="preserve"> ERP</w:t>
      </w:r>
      <w:r w:rsidR="007D5DBF" w:rsidRPr="001A63B3">
        <w:rPr>
          <w:sz w:val="24"/>
        </w:rPr>
        <w:t>.</w:t>
      </w:r>
    </w:p>
    <w:p w14:paraId="75CDE50D" w14:textId="7B5F2B7F" w:rsidR="003C6C63" w:rsidRDefault="00000000" w:rsidP="00BE0D57">
      <w:pPr>
        <w:spacing w:after="0" w:line="259" w:lineRule="auto"/>
        <w:ind w:left="0" w:firstLine="0"/>
      </w:pPr>
      <w:r>
        <w:t xml:space="preserve"> </w:t>
      </w:r>
    </w:p>
    <w:p w14:paraId="76D9220C" w14:textId="77777777" w:rsidR="003C6C63" w:rsidRDefault="00000000">
      <w:pPr>
        <w:pStyle w:val="Heading1"/>
        <w:ind w:left="-5"/>
      </w:pPr>
      <w:r>
        <w:t xml:space="preserve">Net-Zero Procurement  </w:t>
      </w:r>
    </w:p>
    <w:p w14:paraId="5A5F92EB" w14:textId="75FD1604" w:rsidR="00E33EDD" w:rsidRDefault="00000000" w:rsidP="00E33EDD">
      <w:pPr>
        <w:spacing w:after="120" w:line="239" w:lineRule="auto"/>
        <w:ind w:left="0" w:firstLine="0"/>
        <w:rPr>
          <w:sz w:val="24"/>
        </w:rPr>
      </w:pPr>
      <w:r w:rsidRPr="001A63B3">
        <w:rPr>
          <w:sz w:val="24"/>
        </w:rPr>
        <w:t xml:space="preserve">Net-Zero Procurement (NZP) </w:t>
      </w:r>
      <w:r w:rsidR="007D5DBF" w:rsidRPr="001A63B3">
        <w:rPr>
          <w:sz w:val="24"/>
        </w:rPr>
        <w:t xml:space="preserve">ensures the GC </w:t>
      </w:r>
      <w:r w:rsidRPr="001A63B3">
        <w:rPr>
          <w:sz w:val="24"/>
        </w:rPr>
        <w:t xml:space="preserve">obtains </w:t>
      </w:r>
      <w:r w:rsidRPr="001A63B3">
        <w:rPr>
          <w:i/>
          <w:sz w:val="24"/>
        </w:rPr>
        <w:t>best value</w:t>
      </w:r>
      <w:r w:rsidRPr="001A63B3">
        <w:rPr>
          <w:sz w:val="24"/>
        </w:rPr>
        <w:t xml:space="preserve"> for money when purchasing the</w:t>
      </w:r>
      <w:r w:rsidR="00B51EEF">
        <w:rPr>
          <w:sz w:val="24"/>
        </w:rPr>
        <w:t xml:space="preserve"> best and </w:t>
      </w:r>
      <w:r w:rsidRPr="001A63B3">
        <w:rPr>
          <w:iCs/>
          <w:sz w:val="24"/>
        </w:rPr>
        <w:t>most low-carbon and circular goods and services</w:t>
      </w:r>
      <w:r w:rsidR="00780A8A" w:rsidRPr="001A63B3">
        <w:rPr>
          <w:iCs/>
          <w:sz w:val="24"/>
        </w:rPr>
        <w:t>,</w:t>
      </w:r>
      <w:r w:rsidRPr="001A63B3">
        <w:rPr>
          <w:iCs/>
          <w:sz w:val="24"/>
        </w:rPr>
        <w:t xml:space="preserve"> f</w:t>
      </w:r>
      <w:r w:rsidRPr="001A63B3">
        <w:rPr>
          <w:sz w:val="24"/>
        </w:rPr>
        <w:t xml:space="preserve">rom </w:t>
      </w:r>
      <w:r w:rsidR="00B51EEF">
        <w:rPr>
          <w:sz w:val="24"/>
        </w:rPr>
        <w:t xml:space="preserve">the best and </w:t>
      </w:r>
      <w:r w:rsidR="00B51EEF" w:rsidRPr="00B51EEF">
        <w:rPr>
          <w:i/>
          <w:iCs/>
          <w:sz w:val="24"/>
        </w:rPr>
        <w:t>most low-carbon and circular suppliers</w:t>
      </w:r>
      <w:r w:rsidR="00780A8A" w:rsidRPr="001A63B3">
        <w:rPr>
          <w:sz w:val="24"/>
        </w:rPr>
        <w:t xml:space="preserve">, in support of </w:t>
      </w:r>
      <w:r w:rsidR="00AF457E" w:rsidRPr="001A63B3">
        <w:rPr>
          <w:sz w:val="24"/>
        </w:rPr>
        <w:t xml:space="preserve">the </w:t>
      </w:r>
      <w:r w:rsidR="00780A8A" w:rsidRPr="001A63B3">
        <w:rPr>
          <w:sz w:val="24"/>
        </w:rPr>
        <w:t>GC</w:t>
      </w:r>
      <w:r w:rsidR="00AF457E" w:rsidRPr="001A63B3">
        <w:rPr>
          <w:sz w:val="24"/>
        </w:rPr>
        <w:t>’s</w:t>
      </w:r>
      <w:r w:rsidR="00780A8A" w:rsidRPr="001A63B3">
        <w:rPr>
          <w:sz w:val="24"/>
        </w:rPr>
        <w:t xml:space="preserve"> GHG reduction strategies, goals, and targets.</w:t>
      </w:r>
    </w:p>
    <w:p w14:paraId="26E124AD" w14:textId="1F942494" w:rsidR="00E33EDD" w:rsidRPr="001A63B3" w:rsidRDefault="00000000" w:rsidP="00E33EDD">
      <w:pPr>
        <w:spacing w:after="120" w:line="239" w:lineRule="auto"/>
        <w:ind w:left="0" w:firstLine="0"/>
        <w:rPr>
          <w:sz w:val="24"/>
        </w:rPr>
      </w:pPr>
      <w:r w:rsidRPr="001A63B3">
        <w:rPr>
          <w:sz w:val="24"/>
        </w:rPr>
        <w:t xml:space="preserve">In an NZP system, goods and services are scored on how well they meet low-carbon and circular specifications. More importantly, </w:t>
      </w:r>
      <w:r w:rsidRPr="001A63B3">
        <w:rPr>
          <w:i/>
          <w:sz w:val="24"/>
        </w:rPr>
        <w:t>suppliers are scored on their GHG reduction efforts and their commitment to circularity.</w:t>
      </w:r>
      <w:r w:rsidRPr="001A63B3">
        <w:rPr>
          <w:sz w:val="24"/>
        </w:rPr>
        <w:t xml:space="preserve"> </w:t>
      </w:r>
      <w:r w:rsidR="00780A8A" w:rsidRPr="001A63B3">
        <w:rPr>
          <w:sz w:val="24"/>
        </w:rPr>
        <w:t>In an NZP system, bid appraisals</w:t>
      </w:r>
      <w:r w:rsidR="00780A8A" w:rsidRPr="001A63B3">
        <w:rPr>
          <w:rFonts w:ascii="Times New Roman" w:eastAsia="Times New Roman" w:hAnsi="Times New Roman" w:cs="Times New Roman"/>
          <w:sz w:val="24"/>
        </w:rPr>
        <w:t xml:space="preserve"> </w:t>
      </w:r>
      <w:r w:rsidR="00780A8A" w:rsidRPr="00B51EEF">
        <w:rPr>
          <w:i/>
          <w:iCs/>
          <w:sz w:val="24"/>
        </w:rPr>
        <w:t>significantly weight</w:t>
      </w:r>
      <w:r w:rsidR="00780A8A" w:rsidRPr="001A63B3">
        <w:rPr>
          <w:sz w:val="24"/>
        </w:rPr>
        <w:t xml:space="preserve"> both of the resulting product and </w:t>
      </w:r>
      <w:r w:rsidR="00780A8A" w:rsidRPr="001A63B3">
        <w:rPr>
          <w:i/>
          <w:iCs/>
          <w:sz w:val="24"/>
        </w:rPr>
        <w:t xml:space="preserve">supplier </w:t>
      </w:r>
      <w:r w:rsidR="00780A8A" w:rsidRPr="001A63B3">
        <w:rPr>
          <w:sz w:val="24"/>
        </w:rPr>
        <w:t xml:space="preserve">scores. That is, they each are worth at least 10% of available points in the tender. </w:t>
      </w:r>
    </w:p>
    <w:p w14:paraId="4A07CB22" w14:textId="572159B6" w:rsidR="001A63B3" w:rsidRDefault="00780A8A">
      <w:pPr>
        <w:ind w:left="-5"/>
      </w:pPr>
      <w:r w:rsidRPr="001A63B3">
        <w:rPr>
          <w:sz w:val="24"/>
        </w:rPr>
        <w:t xml:space="preserve">This is the signature feature of NZP – </w:t>
      </w:r>
      <w:r w:rsidRPr="001A63B3">
        <w:rPr>
          <w:i/>
          <w:sz w:val="24"/>
        </w:rPr>
        <w:t xml:space="preserve">it financially </w:t>
      </w:r>
      <w:r w:rsidR="00213E3E" w:rsidRPr="001A63B3">
        <w:rPr>
          <w:i/>
          <w:sz w:val="24"/>
        </w:rPr>
        <w:t xml:space="preserve">incentivizes </w:t>
      </w:r>
      <w:r w:rsidRPr="001A63B3">
        <w:rPr>
          <w:i/>
          <w:sz w:val="24"/>
        </w:rPr>
        <w:t>suppliers to reduce their product carbon footprints and their GHGs because they earn more points if they have a higher score, giving them a competitive advantage over other bidders</w:t>
      </w:r>
      <w:r w:rsidRPr="001A63B3">
        <w:rPr>
          <w:sz w:val="24"/>
        </w:rPr>
        <w:t xml:space="preserve">. At contract time, NZP-related terms and conditions include verification of the winning supplier’s score, and penalties / incentives to ensure winning suppliers follow through on stated plans to further reduce their GHGs. </w:t>
      </w:r>
    </w:p>
    <w:p w14:paraId="74DE31FD" w14:textId="57556E94" w:rsidR="003C6C63" w:rsidRDefault="00CE0430">
      <w:pPr>
        <w:pStyle w:val="Heading1"/>
        <w:ind w:left="-5"/>
      </w:pPr>
      <w:r>
        <w:t>Use the NZP Toolkit to d</w:t>
      </w:r>
      <w:r w:rsidR="004F4E87">
        <w:t xml:space="preserve">eploy NZP with speed and scale </w:t>
      </w:r>
    </w:p>
    <w:p w14:paraId="0B30B026" w14:textId="273DF254" w:rsidR="003C6C63" w:rsidRPr="001A63B3" w:rsidRDefault="00000000">
      <w:pPr>
        <w:spacing w:after="143"/>
        <w:ind w:left="-5"/>
        <w:rPr>
          <w:sz w:val="24"/>
        </w:rPr>
      </w:pPr>
      <w:r w:rsidRPr="001A63B3">
        <w:rPr>
          <w:sz w:val="24"/>
        </w:rPr>
        <w:t xml:space="preserve">A free, open-source </w:t>
      </w:r>
      <w:hyperlink r:id="rId12">
        <w:r w:rsidR="003C6C63" w:rsidRPr="001A63B3">
          <w:rPr>
            <w:color w:val="0000FF"/>
            <w:sz w:val="24"/>
            <w:u w:val="single" w:color="0000FF"/>
          </w:rPr>
          <w:t>Net</w:t>
        </w:r>
      </w:hyperlink>
      <w:hyperlink r:id="rId13">
        <w:r w:rsidR="003C6C63" w:rsidRPr="001A63B3">
          <w:rPr>
            <w:color w:val="0000FF"/>
            <w:sz w:val="24"/>
            <w:u w:val="single" w:color="0000FF"/>
          </w:rPr>
          <w:t>-</w:t>
        </w:r>
      </w:hyperlink>
      <w:hyperlink r:id="rId14">
        <w:r w:rsidR="003C6C63" w:rsidRPr="001A63B3">
          <w:rPr>
            <w:color w:val="0000FF"/>
            <w:sz w:val="24"/>
            <w:u w:val="single" w:color="0000FF"/>
          </w:rPr>
          <w:t>Zero Procurement</w:t>
        </w:r>
      </w:hyperlink>
      <w:hyperlink r:id="rId15">
        <w:r w:rsidR="003C6C63" w:rsidRPr="001A63B3">
          <w:rPr>
            <w:color w:val="0000FF"/>
            <w:sz w:val="24"/>
            <w:u w:val="single" w:color="0000FF"/>
          </w:rPr>
          <w:t xml:space="preserve"> </w:t>
        </w:r>
      </w:hyperlink>
      <w:hyperlink r:id="rId16">
        <w:r w:rsidR="003C6C63" w:rsidRPr="001A63B3">
          <w:rPr>
            <w:color w:val="0000FF"/>
            <w:sz w:val="24"/>
            <w:u w:val="single" w:color="0000FF"/>
          </w:rPr>
          <w:t>(NZP)</w:t>
        </w:r>
      </w:hyperlink>
      <w:hyperlink r:id="rId17">
        <w:r w:rsidR="003C6C63" w:rsidRPr="001A63B3">
          <w:rPr>
            <w:color w:val="0000FF"/>
            <w:sz w:val="24"/>
            <w:u w:val="single" w:color="0000FF"/>
          </w:rPr>
          <w:t xml:space="preserve"> </w:t>
        </w:r>
      </w:hyperlink>
      <w:hyperlink r:id="rId18">
        <w:r w:rsidR="003C6C63" w:rsidRPr="001A63B3">
          <w:rPr>
            <w:color w:val="0000FF"/>
            <w:sz w:val="24"/>
            <w:u w:val="single" w:color="0000FF"/>
          </w:rPr>
          <w:t>Toolkit</w:t>
        </w:r>
      </w:hyperlink>
      <w:hyperlink r:id="rId19">
        <w:r w:rsidR="003C6C63" w:rsidRPr="001A63B3">
          <w:rPr>
            <w:sz w:val="24"/>
          </w:rPr>
          <w:t xml:space="preserve"> </w:t>
        </w:r>
      </w:hyperlink>
      <w:r w:rsidRPr="001A63B3">
        <w:rPr>
          <w:sz w:val="24"/>
        </w:rPr>
        <w:t>expedites the integration of NZP into GC procurement processes. It includes</w:t>
      </w:r>
      <w:r w:rsidR="00012EE1" w:rsidRPr="001A63B3">
        <w:rPr>
          <w:sz w:val="24"/>
        </w:rPr>
        <w:t xml:space="preserve"> </w:t>
      </w:r>
      <w:r w:rsidRPr="001A63B3">
        <w:rPr>
          <w:sz w:val="24"/>
        </w:rPr>
        <w:t>1) sample</w:t>
      </w:r>
      <w:r w:rsidR="00012EE1" w:rsidRPr="001A63B3">
        <w:rPr>
          <w:sz w:val="24"/>
        </w:rPr>
        <w:t xml:space="preserve"> low-carbon and circular</w:t>
      </w:r>
      <w:r w:rsidRPr="001A63B3">
        <w:rPr>
          <w:sz w:val="24"/>
        </w:rPr>
        <w:t xml:space="preserve"> </w:t>
      </w:r>
      <w:r w:rsidRPr="001A63B3">
        <w:rPr>
          <w:i/>
          <w:sz w:val="24"/>
        </w:rPr>
        <w:t>product</w:t>
      </w:r>
      <w:r w:rsidRPr="001A63B3">
        <w:rPr>
          <w:sz w:val="24"/>
        </w:rPr>
        <w:t xml:space="preserve"> spec</w:t>
      </w:r>
      <w:r w:rsidR="00C44B41" w:rsidRPr="001A63B3">
        <w:rPr>
          <w:sz w:val="24"/>
        </w:rPr>
        <w:t>s</w:t>
      </w:r>
      <w:r w:rsidRPr="001A63B3">
        <w:rPr>
          <w:sz w:val="24"/>
        </w:rPr>
        <w:t xml:space="preserve"> used to score products; 2) </w:t>
      </w:r>
      <w:r w:rsidR="009D5835">
        <w:rPr>
          <w:sz w:val="24"/>
        </w:rPr>
        <w:t xml:space="preserve">a </w:t>
      </w:r>
      <w:r w:rsidRPr="001A63B3">
        <w:rPr>
          <w:sz w:val="24"/>
        </w:rPr>
        <w:t>sample SME</w:t>
      </w:r>
      <w:r w:rsidR="00D37A8C" w:rsidRPr="001A63B3">
        <w:rPr>
          <w:sz w:val="24"/>
        </w:rPr>
        <w:t>-</w:t>
      </w:r>
      <w:r w:rsidRPr="001A63B3">
        <w:rPr>
          <w:sz w:val="24"/>
        </w:rPr>
        <w:t xml:space="preserve">friendly </w:t>
      </w:r>
      <w:r w:rsidRPr="001A63B3">
        <w:rPr>
          <w:i/>
          <w:sz w:val="24"/>
        </w:rPr>
        <w:t>supplier</w:t>
      </w:r>
      <w:r w:rsidRPr="001A63B3">
        <w:rPr>
          <w:sz w:val="24"/>
        </w:rPr>
        <w:t xml:space="preserve"> assessment questionnaire used to score suppliers</w:t>
      </w:r>
      <w:r w:rsidR="00AB32A5" w:rsidRPr="001A63B3">
        <w:rPr>
          <w:sz w:val="24"/>
        </w:rPr>
        <w:t xml:space="preserve"> on their GHG</w:t>
      </w:r>
      <w:r w:rsidR="006F28E8" w:rsidRPr="001A63B3">
        <w:rPr>
          <w:sz w:val="24"/>
        </w:rPr>
        <w:t xml:space="preserve"> reduction </w:t>
      </w:r>
      <w:r w:rsidR="009D5835">
        <w:rPr>
          <w:sz w:val="24"/>
        </w:rPr>
        <w:t xml:space="preserve">and circularity </w:t>
      </w:r>
      <w:r w:rsidR="006F28E8" w:rsidRPr="001A63B3">
        <w:rPr>
          <w:sz w:val="24"/>
        </w:rPr>
        <w:t>status</w:t>
      </w:r>
      <w:r w:rsidRPr="001A63B3">
        <w:rPr>
          <w:sz w:val="24"/>
        </w:rPr>
        <w:t>; 3) a sample bid appraisal template; and 4) sample NZP contract terms and conditions. The four tools are</w:t>
      </w:r>
      <w:r w:rsidR="009D5835">
        <w:rPr>
          <w:sz w:val="24"/>
        </w:rPr>
        <w:t xml:space="preserve"> non-disruptive</w:t>
      </w:r>
      <w:r w:rsidRPr="001A63B3">
        <w:rPr>
          <w:sz w:val="24"/>
        </w:rPr>
        <w:t xml:space="preserve"> </w:t>
      </w:r>
      <w:r w:rsidRPr="001A63B3">
        <w:rPr>
          <w:i/>
          <w:iCs/>
          <w:sz w:val="24"/>
        </w:rPr>
        <w:t>add-ons</w:t>
      </w:r>
      <w:r w:rsidRPr="001A63B3">
        <w:rPr>
          <w:sz w:val="24"/>
        </w:rPr>
        <w:t xml:space="preserve"> to current procurement processes, not replacements. The Government of Canada (GC) can use the </w:t>
      </w:r>
      <w:r w:rsidR="00B02AF8" w:rsidRPr="001A63B3">
        <w:rPr>
          <w:sz w:val="24"/>
        </w:rPr>
        <w:t>T</w:t>
      </w:r>
      <w:r w:rsidRPr="001A63B3">
        <w:rPr>
          <w:sz w:val="24"/>
        </w:rPr>
        <w:t>oolkit to pilot and then systematically integrate NZP elements into current procurement processes in all levels of government</w:t>
      </w:r>
      <w:r w:rsidR="002D6C5B" w:rsidRPr="001A63B3">
        <w:rPr>
          <w:sz w:val="24"/>
        </w:rPr>
        <w:t>.</w:t>
      </w:r>
      <w:r w:rsidRPr="001A63B3">
        <w:rPr>
          <w:sz w:val="24"/>
        </w:rPr>
        <w:t xml:space="preserve"> </w:t>
      </w:r>
    </w:p>
    <w:p w14:paraId="58A4A95D" w14:textId="309DADD1" w:rsidR="003E4703" w:rsidRDefault="00286CCD" w:rsidP="001A63B3">
      <w:pPr>
        <w:spacing w:before="120" w:after="0" w:line="259" w:lineRule="auto"/>
      </w:pPr>
      <w:r>
        <w:br/>
      </w:r>
    </w:p>
    <w:p w14:paraId="68E07758" w14:textId="695A76FB" w:rsidR="003C6C63" w:rsidRDefault="002D6C5B">
      <w:pPr>
        <w:pStyle w:val="Heading1"/>
        <w:ind w:left="-5"/>
      </w:pPr>
      <w:r>
        <w:lastRenderedPageBreak/>
        <w:t xml:space="preserve">7 key features of the </w:t>
      </w:r>
      <w:r w:rsidR="00123B94">
        <w:t xml:space="preserve">proposed </w:t>
      </w:r>
      <w:r>
        <w:t xml:space="preserve">NZP </w:t>
      </w:r>
      <w:r w:rsidR="00123B94">
        <w:t>system</w:t>
      </w:r>
    </w:p>
    <w:p w14:paraId="6D0A9360" w14:textId="77777777" w:rsidR="002D6C5B" w:rsidRPr="002D6C5B" w:rsidRDefault="002D6C5B" w:rsidP="009D5835">
      <w:pPr>
        <w:numPr>
          <w:ilvl w:val="0"/>
          <w:numId w:val="5"/>
        </w:numPr>
        <w:spacing w:before="80" w:after="0" w:line="264" w:lineRule="auto"/>
        <w:ind w:left="709" w:right="23" w:hanging="284"/>
        <w:rPr>
          <w:bCs/>
          <w:sz w:val="24"/>
        </w:rPr>
      </w:pPr>
      <w:r w:rsidRPr="002D6C5B">
        <w:rPr>
          <w:bCs/>
          <w:sz w:val="24"/>
        </w:rPr>
        <w:t xml:space="preserve">Governments are </w:t>
      </w:r>
      <w:r w:rsidRPr="002D6C5B">
        <w:rPr>
          <w:bCs/>
          <w:i/>
          <w:iCs/>
          <w:sz w:val="24"/>
        </w:rPr>
        <w:t>customers</w:t>
      </w:r>
      <w:r w:rsidRPr="002D6C5B">
        <w:rPr>
          <w:bCs/>
          <w:sz w:val="24"/>
        </w:rPr>
        <w:t xml:space="preserve">, not regulators. They are a </w:t>
      </w:r>
      <w:r w:rsidRPr="002D6C5B">
        <w:rPr>
          <w:bCs/>
          <w:i/>
          <w:iCs/>
          <w:sz w:val="24"/>
        </w:rPr>
        <w:t>market force</w:t>
      </w:r>
      <w:r w:rsidRPr="002D6C5B">
        <w:rPr>
          <w:bCs/>
          <w:sz w:val="24"/>
        </w:rPr>
        <w:t>.</w:t>
      </w:r>
    </w:p>
    <w:p w14:paraId="49C4C3C8" w14:textId="2A15EAB1" w:rsidR="002D6C5B" w:rsidRPr="002D6C5B" w:rsidRDefault="002D6C5B" w:rsidP="009D5835">
      <w:pPr>
        <w:numPr>
          <w:ilvl w:val="0"/>
          <w:numId w:val="5"/>
        </w:numPr>
        <w:spacing w:before="80" w:after="0" w:line="264" w:lineRule="auto"/>
        <w:ind w:left="709" w:right="23" w:hanging="284"/>
        <w:rPr>
          <w:bCs/>
          <w:sz w:val="24"/>
        </w:rPr>
      </w:pPr>
      <w:r w:rsidRPr="002D6C5B">
        <w:rPr>
          <w:bCs/>
          <w:sz w:val="24"/>
        </w:rPr>
        <w:t xml:space="preserve">It </w:t>
      </w:r>
      <w:r w:rsidRPr="002D6C5B">
        <w:rPr>
          <w:bCs/>
          <w:i/>
          <w:iCs/>
          <w:sz w:val="24"/>
        </w:rPr>
        <w:t xml:space="preserve">financially incentivizes </w:t>
      </w:r>
      <w:r w:rsidRPr="002D6C5B">
        <w:rPr>
          <w:bCs/>
          <w:sz w:val="24"/>
        </w:rPr>
        <w:t xml:space="preserve">suppliers to </w:t>
      </w:r>
      <w:r w:rsidRPr="002D6C5B">
        <w:rPr>
          <w:bCs/>
          <w:i/>
          <w:iCs/>
          <w:sz w:val="24"/>
        </w:rPr>
        <w:t>want</w:t>
      </w:r>
      <w:r w:rsidRPr="002D6C5B">
        <w:rPr>
          <w:bCs/>
          <w:sz w:val="24"/>
        </w:rPr>
        <w:t xml:space="preserve"> to reduce their Scope 1 &amp; 2 GHGs in line with science-based targets (SBTs).          </w:t>
      </w:r>
    </w:p>
    <w:p w14:paraId="1C97BDE1" w14:textId="77777777" w:rsidR="002D6C5B" w:rsidRPr="002D6C5B" w:rsidRDefault="002D6C5B" w:rsidP="009D5835">
      <w:pPr>
        <w:numPr>
          <w:ilvl w:val="0"/>
          <w:numId w:val="5"/>
        </w:numPr>
        <w:spacing w:before="80" w:after="0" w:line="264" w:lineRule="auto"/>
        <w:ind w:left="709" w:right="23" w:hanging="284"/>
        <w:rPr>
          <w:bCs/>
          <w:sz w:val="24"/>
        </w:rPr>
      </w:pPr>
      <w:r w:rsidRPr="002D6C5B">
        <w:rPr>
          <w:bCs/>
          <w:sz w:val="24"/>
        </w:rPr>
        <w:t xml:space="preserve">The supplier questionnaire is </w:t>
      </w:r>
      <w:r w:rsidRPr="002D6C5B">
        <w:rPr>
          <w:bCs/>
          <w:i/>
          <w:iCs/>
          <w:sz w:val="24"/>
        </w:rPr>
        <w:t>requested</w:t>
      </w:r>
      <w:r w:rsidRPr="002D6C5B">
        <w:rPr>
          <w:bCs/>
          <w:sz w:val="24"/>
        </w:rPr>
        <w:t>, not required. If suppliers get a low or zero score, they can still bid. This protects key supplier relationships.</w:t>
      </w:r>
    </w:p>
    <w:p w14:paraId="045C1BA3" w14:textId="77777777" w:rsidR="002D6C5B" w:rsidRPr="002D6C5B" w:rsidRDefault="002D6C5B" w:rsidP="009D5835">
      <w:pPr>
        <w:numPr>
          <w:ilvl w:val="0"/>
          <w:numId w:val="5"/>
        </w:numPr>
        <w:spacing w:before="80" w:after="0" w:line="264" w:lineRule="auto"/>
        <w:ind w:left="709" w:right="23" w:hanging="284"/>
        <w:rPr>
          <w:bCs/>
          <w:sz w:val="24"/>
        </w:rPr>
      </w:pPr>
      <w:r w:rsidRPr="002D6C5B">
        <w:rPr>
          <w:bCs/>
          <w:sz w:val="24"/>
        </w:rPr>
        <w:t xml:space="preserve">The supplier questionnaire is </w:t>
      </w:r>
      <w:r w:rsidRPr="002D6C5B">
        <w:rPr>
          <w:bCs/>
          <w:i/>
          <w:iCs/>
          <w:sz w:val="24"/>
        </w:rPr>
        <w:t>self-scoring</w:t>
      </w:r>
      <w:r w:rsidRPr="002D6C5B">
        <w:rPr>
          <w:bCs/>
          <w:sz w:val="24"/>
        </w:rPr>
        <w:t xml:space="preserve">, reducing training requirements for procurement staff. </w:t>
      </w:r>
    </w:p>
    <w:p w14:paraId="5C9CE6D9" w14:textId="66DAC890" w:rsidR="002D6C5B" w:rsidRPr="002D6C5B" w:rsidRDefault="002D6C5B" w:rsidP="009D5835">
      <w:pPr>
        <w:numPr>
          <w:ilvl w:val="0"/>
          <w:numId w:val="5"/>
        </w:numPr>
        <w:spacing w:before="80" w:after="0" w:line="264" w:lineRule="auto"/>
        <w:ind w:left="709" w:right="23" w:hanging="284"/>
        <w:rPr>
          <w:bCs/>
          <w:sz w:val="24"/>
        </w:rPr>
      </w:pPr>
      <w:r w:rsidRPr="002D6C5B">
        <w:rPr>
          <w:bCs/>
          <w:sz w:val="24"/>
        </w:rPr>
        <w:t xml:space="preserve">It is </w:t>
      </w:r>
      <w:r w:rsidRPr="002D6C5B">
        <w:rPr>
          <w:bCs/>
          <w:i/>
          <w:iCs/>
          <w:sz w:val="24"/>
        </w:rPr>
        <w:t>fair</w:t>
      </w:r>
      <w:r w:rsidRPr="002D6C5B">
        <w:rPr>
          <w:bCs/>
          <w:sz w:val="24"/>
        </w:rPr>
        <w:t xml:space="preserve"> to suppliers new to GHGs. Governments</w:t>
      </w:r>
      <w:r w:rsidRPr="002D6C5B">
        <w:rPr>
          <w:bCs/>
          <w:i/>
          <w:iCs/>
          <w:sz w:val="24"/>
        </w:rPr>
        <w:t xml:space="preserve"> signal</w:t>
      </w:r>
      <w:r w:rsidRPr="002D6C5B">
        <w:rPr>
          <w:bCs/>
          <w:sz w:val="24"/>
        </w:rPr>
        <w:t xml:space="preserve"> that the supplier questionnaire will be part of </w:t>
      </w:r>
      <w:r w:rsidRPr="002D6C5B">
        <w:rPr>
          <w:bCs/>
          <w:i/>
          <w:iCs/>
          <w:sz w:val="24"/>
        </w:rPr>
        <w:t>all</w:t>
      </w:r>
      <w:r w:rsidRPr="002D6C5B">
        <w:rPr>
          <w:bCs/>
          <w:sz w:val="24"/>
        </w:rPr>
        <w:t xml:space="preserve"> tenders from now on. They </w:t>
      </w:r>
      <w:r w:rsidRPr="002D6C5B">
        <w:rPr>
          <w:bCs/>
          <w:i/>
          <w:iCs/>
          <w:sz w:val="24"/>
        </w:rPr>
        <w:t>send it to all suppliers</w:t>
      </w:r>
      <w:r w:rsidRPr="002D6C5B">
        <w:rPr>
          <w:bCs/>
          <w:sz w:val="24"/>
        </w:rPr>
        <w:t xml:space="preserve">, and encourage them to submit a baseline diagnostic now.      </w:t>
      </w:r>
    </w:p>
    <w:p w14:paraId="0A50FA3D" w14:textId="77777777" w:rsidR="002D6C5B" w:rsidRPr="002D6C5B" w:rsidRDefault="002D6C5B" w:rsidP="009D5835">
      <w:pPr>
        <w:numPr>
          <w:ilvl w:val="0"/>
          <w:numId w:val="5"/>
        </w:numPr>
        <w:spacing w:before="80" w:after="0" w:line="264" w:lineRule="auto"/>
        <w:ind w:left="709" w:right="23" w:hanging="284"/>
        <w:rPr>
          <w:bCs/>
          <w:sz w:val="24"/>
        </w:rPr>
      </w:pPr>
      <w:r w:rsidRPr="002D6C5B">
        <w:rPr>
          <w:bCs/>
          <w:sz w:val="24"/>
        </w:rPr>
        <w:t xml:space="preserve">A </w:t>
      </w:r>
      <w:r w:rsidRPr="002D6C5B">
        <w:rPr>
          <w:bCs/>
          <w:i/>
          <w:iCs/>
          <w:sz w:val="24"/>
        </w:rPr>
        <w:t xml:space="preserve">Supplier Support Hub </w:t>
      </w:r>
      <w:r w:rsidRPr="002D6C5B">
        <w:rPr>
          <w:bCs/>
          <w:sz w:val="24"/>
        </w:rPr>
        <w:t>builds supplier capacity to reduce GHGs.</w:t>
      </w:r>
    </w:p>
    <w:p w14:paraId="5F9C9CBF" w14:textId="77777777" w:rsidR="002D6C5B" w:rsidRPr="002D6C5B" w:rsidRDefault="002D6C5B" w:rsidP="009D5835">
      <w:pPr>
        <w:numPr>
          <w:ilvl w:val="0"/>
          <w:numId w:val="5"/>
        </w:numPr>
        <w:spacing w:before="80" w:after="0" w:line="264" w:lineRule="auto"/>
        <w:ind w:left="709" w:right="23" w:hanging="284"/>
        <w:rPr>
          <w:bCs/>
          <w:sz w:val="24"/>
        </w:rPr>
      </w:pPr>
      <w:r w:rsidRPr="002D6C5B">
        <w:rPr>
          <w:bCs/>
          <w:sz w:val="24"/>
        </w:rPr>
        <w:t xml:space="preserve">It </w:t>
      </w:r>
      <w:r w:rsidRPr="002D6C5B">
        <w:rPr>
          <w:bCs/>
          <w:i/>
          <w:iCs/>
          <w:sz w:val="24"/>
        </w:rPr>
        <w:t xml:space="preserve">prepares suppliers for new markets </w:t>
      </w:r>
      <w:r w:rsidRPr="002D6C5B">
        <w:rPr>
          <w:bCs/>
          <w:sz w:val="24"/>
        </w:rPr>
        <w:t>like the EU that have stringent GHG-related criteria for suppliers.</w:t>
      </w:r>
    </w:p>
    <w:p w14:paraId="6121E7E1" w14:textId="284F196F" w:rsidR="00586069" w:rsidRDefault="001E6F51" w:rsidP="00F81B1B">
      <w:pPr>
        <w:spacing w:after="30" w:line="263" w:lineRule="auto"/>
        <w:ind w:left="0" w:right="22" w:firstLine="0"/>
        <w:jc w:val="both"/>
        <w:rPr>
          <w:b/>
          <w:sz w:val="28"/>
        </w:rPr>
      </w:pPr>
      <w:r>
        <w:rPr>
          <w:b/>
          <w:sz w:val="28"/>
        </w:rPr>
        <w:t>R</w:t>
      </w:r>
      <w:r w:rsidR="00586069">
        <w:rPr>
          <w:b/>
          <w:sz w:val="28"/>
        </w:rPr>
        <w:t>esult</w:t>
      </w:r>
      <w:r>
        <w:rPr>
          <w:b/>
          <w:sz w:val="28"/>
        </w:rPr>
        <w:t>s by 2030</w:t>
      </w:r>
    </w:p>
    <w:p w14:paraId="6A0B4F59" w14:textId="6422C788" w:rsidR="00DC698D" w:rsidRPr="001A63B3" w:rsidRDefault="009C4FA3" w:rsidP="0064482B">
      <w:pPr>
        <w:spacing w:before="120" w:after="0" w:line="264" w:lineRule="auto"/>
        <w:ind w:left="0" w:right="23" w:firstLine="0"/>
        <w:rPr>
          <w:bCs/>
          <w:sz w:val="24"/>
        </w:rPr>
      </w:pPr>
      <w:r w:rsidRPr="001A63B3">
        <w:rPr>
          <w:bCs/>
          <w:sz w:val="24"/>
        </w:rPr>
        <w:t xml:space="preserve">Unless businesses are </w:t>
      </w:r>
      <w:r w:rsidRPr="001A63B3">
        <w:rPr>
          <w:bCs/>
          <w:i/>
          <w:iCs/>
          <w:sz w:val="24"/>
        </w:rPr>
        <w:t>motivated / incentivized</w:t>
      </w:r>
      <w:r w:rsidRPr="001A63B3">
        <w:rPr>
          <w:bCs/>
          <w:sz w:val="24"/>
        </w:rPr>
        <w:t xml:space="preserve"> to reduce their GHGs, they will not commit to science-based </w:t>
      </w:r>
      <w:r w:rsidR="005D7ADC" w:rsidRPr="001A63B3">
        <w:rPr>
          <w:bCs/>
          <w:sz w:val="24"/>
        </w:rPr>
        <w:t>targets</w:t>
      </w:r>
      <w:r w:rsidRPr="001A63B3">
        <w:rPr>
          <w:bCs/>
          <w:sz w:val="24"/>
        </w:rPr>
        <w:t xml:space="preserve"> (SBTs)</w:t>
      </w:r>
      <w:r w:rsidR="005D7ADC" w:rsidRPr="001A63B3">
        <w:rPr>
          <w:bCs/>
          <w:sz w:val="24"/>
        </w:rPr>
        <w:t>, and they will not</w:t>
      </w:r>
      <w:r w:rsidR="00606FB9" w:rsidRPr="001A63B3">
        <w:rPr>
          <w:bCs/>
          <w:sz w:val="24"/>
        </w:rPr>
        <w:t xml:space="preserve"> </w:t>
      </w:r>
      <w:r w:rsidR="00606FB9" w:rsidRPr="001A63B3">
        <w:rPr>
          <w:bCs/>
          <w:i/>
          <w:iCs/>
          <w:sz w:val="24"/>
        </w:rPr>
        <w:t xml:space="preserve">want </w:t>
      </w:r>
      <w:r w:rsidR="00606FB9" w:rsidRPr="001A63B3">
        <w:rPr>
          <w:bCs/>
          <w:sz w:val="24"/>
        </w:rPr>
        <w:t>to</w:t>
      </w:r>
      <w:r w:rsidR="005D7ADC" w:rsidRPr="001A63B3">
        <w:rPr>
          <w:bCs/>
          <w:sz w:val="24"/>
        </w:rPr>
        <w:t xml:space="preserve"> take advantage of </w:t>
      </w:r>
      <w:r w:rsidR="00A51202" w:rsidRPr="001A63B3">
        <w:rPr>
          <w:bCs/>
          <w:sz w:val="24"/>
        </w:rPr>
        <w:t xml:space="preserve">all associated </w:t>
      </w:r>
      <w:r w:rsidR="005D7ADC" w:rsidRPr="001A63B3">
        <w:rPr>
          <w:bCs/>
          <w:sz w:val="24"/>
        </w:rPr>
        <w:t xml:space="preserve">government help. </w:t>
      </w:r>
      <w:r w:rsidR="002D38AC" w:rsidRPr="001A63B3">
        <w:rPr>
          <w:bCs/>
          <w:sz w:val="24"/>
        </w:rPr>
        <w:t xml:space="preserve">Businesses are responsible for 80% of Canada’s GHG emissions. If they don’t </w:t>
      </w:r>
      <w:r w:rsidR="00853956" w:rsidRPr="001A63B3">
        <w:rPr>
          <w:bCs/>
          <w:i/>
          <w:iCs/>
          <w:sz w:val="24"/>
        </w:rPr>
        <w:t>want</w:t>
      </w:r>
      <w:r w:rsidR="002D38AC" w:rsidRPr="001A63B3">
        <w:rPr>
          <w:bCs/>
          <w:sz w:val="24"/>
        </w:rPr>
        <w:t xml:space="preserve"> to reduce their GHGs</w:t>
      </w:r>
      <w:r w:rsidR="0064482B" w:rsidRPr="001A63B3">
        <w:rPr>
          <w:bCs/>
          <w:sz w:val="24"/>
        </w:rPr>
        <w:t xml:space="preserve"> and are not </w:t>
      </w:r>
      <w:r w:rsidR="00853956" w:rsidRPr="001A63B3">
        <w:rPr>
          <w:bCs/>
          <w:i/>
          <w:iCs/>
          <w:sz w:val="24"/>
        </w:rPr>
        <w:t xml:space="preserve">committed </w:t>
      </w:r>
      <w:r w:rsidR="00853956" w:rsidRPr="001A63B3">
        <w:rPr>
          <w:bCs/>
          <w:sz w:val="24"/>
        </w:rPr>
        <w:t>t</w:t>
      </w:r>
      <w:r w:rsidR="0064482B" w:rsidRPr="001A63B3">
        <w:rPr>
          <w:bCs/>
          <w:sz w:val="24"/>
        </w:rPr>
        <w:t>o SBTs</w:t>
      </w:r>
      <w:r w:rsidR="002D38AC" w:rsidRPr="001A63B3">
        <w:rPr>
          <w:bCs/>
          <w:sz w:val="24"/>
        </w:rPr>
        <w:t>, Canada will not make its 2030 or 2050 GHG re</w:t>
      </w:r>
      <w:r w:rsidR="00FE622C" w:rsidRPr="001A63B3">
        <w:rPr>
          <w:bCs/>
          <w:sz w:val="24"/>
        </w:rPr>
        <w:t>duction targets.</w:t>
      </w:r>
    </w:p>
    <w:p w14:paraId="7DAEEF2A" w14:textId="5B18F9D1" w:rsidR="001F2439" w:rsidRPr="001A63B3" w:rsidRDefault="001F2439" w:rsidP="0064482B">
      <w:pPr>
        <w:spacing w:before="120" w:after="0" w:line="264" w:lineRule="auto"/>
        <w:ind w:left="0" w:right="23" w:firstLine="0"/>
        <w:rPr>
          <w:bCs/>
          <w:sz w:val="24"/>
        </w:rPr>
      </w:pPr>
      <w:r w:rsidRPr="001A63B3">
        <w:rPr>
          <w:bCs/>
          <w:sz w:val="24"/>
        </w:rPr>
        <w:t xml:space="preserve">Today, only 0.06% of businesses in Canada </w:t>
      </w:r>
      <w:r w:rsidR="001F263F" w:rsidRPr="001A63B3">
        <w:rPr>
          <w:bCs/>
          <w:sz w:val="24"/>
        </w:rPr>
        <w:t>a</w:t>
      </w:r>
      <w:r w:rsidRPr="001A63B3">
        <w:rPr>
          <w:bCs/>
          <w:sz w:val="24"/>
        </w:rPr>
        <w:t>re committed to SBT</w:t>
      </w:r>
      <w:r w:rsidR="001F263F" w:rsidRPr="001A63B3">
        <w:rPr>
          <w:bCs/>
          <w:sz w:val="24"/>
        </w:rPr>
        <w:t xml:space="preserve">s. </w:t>
      </w:r>
      <w:r w:rsidR="00FE622C" w:rsidRPr="001A63B3">
        <w:rPr>
          <w:bCs/>
          <w:sz w:val="24"/>
        </w:rPr>
        <w:t xml:space="preserve">If NZP is deployed as described above, </w:t>
      </w:r>
      <w:r w:rsidR="00C245A7" w:rsidRPr="00C245A7">
        <w:rPr>
          <w:b/>
          <w:sz w:val="24"/>
        </w:rPr>
        <w:t>20-25</w:t>
      </w:r>
      <w:r w:rsidR="00DC698D" w:rsidRPr="00C245A7">
        <w:rPr>
          <w:b/>
          <w:i/>
          <w:iCs/>
          <w:sz w:val="24"/>
        </w:rPr>
        <w:t>%</w:t>
      </w:r>
      <w:r w:rsidR="00FE622C" w:rsidRPr="001A63B3">
        <w:rPr>
          <w:bCs/>
          <w:i/>
          <w:iCs/>
          <w:sz w:val="24"/>
        </w:rPr>
        <w:t xml:space="preserve"> of Canadian businesses will be committed to SBTs</w:t>
      </w:r>
      <w:r w:rsidR="00A51202" w:rsidRPr="001A63B3">
        <w:rPr>
          <w:bCs/>
          <w:i/>
          <w:iCs/>
          <w:sz w:val="24"/>
        </w:rPr>
        <w:t xml:space="preserve"> by 2030</w:t>
      </w:r>
      <w:r w:rsidR="00FE622C" w:rsidRPr="001A63B3">
        <w:rPr>
          <w:bCs/>
          <w:sz w:val="24"/>
        </w:rPr>
        <w:t xml:space="preserve">. </w:t>
      </w:r>
      <w:r w:rsidR="00DC698D" w:rsidRPr="001A63B3">
        <w:rPr>
          <w:bCs/>
          <w:sz w:val="24"/>
        </w:rPr>
        <w:t>Today, only 11</w:t>
      </w:r>
      <w:r w:rsidR="00F17EE9" w:rsidRPr="001A63B3">
        <w:rPr>
          <w:bCs/>
          <w:sz w:val="24"/>
        </w:rPr>
        <w:t xml:space="preserve">% of Canada’s GHGs are addressed by companies’ GHG reduction efforts. If NZP is deployed as described above, </w:t>
      </w:r>
      <w:r w:rsidR="00C245A7" w:rsidRPr="00C245A7">
        <w:rPr>
          <w:b/>
          <w:sz w:val="24"/>
        </w:rPr>
        <w:t>20-25</w:t>
      </w:r>
      <w:r w:rsidR="00A51202" w:rsidRPr="00C245A7">
        <w:rPr>
          <w:b/>
          <w:i/>
          <w:iCs/>
          <w:sz w:val="24"/>
        </w:rPr>
        <w:t>%</w:t>
      </w:r>
      <w:r w:rsidR="00A51202" w:rsidRPr="001A63B3">
        <w:rPr>
          <w:bCs/>
          <w:i/>
          <w:iCs/>
          <w:sz w:val="24"/>
        </w:rPr>
        <w:t xml:space="preserve"> of Canada’s GHGs will be addressed by 2030.</w:t>
      </w:r>
      <w:r w:rsidR="00FE622C" w:rsidRPr="001A63B3">
        <w:rPr>
          <w:bCs/>
          <w:sz w:val="24"/>
        </w:rPr>
        <w:t xml:space="preserve"> </w:t>
      </w:r>
      <w:r w:rsidR="001F263F" w:rsidRPr="001A63B3">
        <w:rPr>
          <w:bCs/>
          <w:sz w:val="24"/>
        </w:rPr>
        <w:t xml:space="preserve"> </w:t>
      </w:r>
    </w:p>
    <w:p w14:paraId="46469775" w14:textId="77777777" w:rsidR="008F4582" w:rsidRPr="001F2439" w:rsidRDefault="008F4582" w:rsidP="009C4FA3">
      <w:pPr>
        <w:spacing w:after="30" w:line="264" w:lineRule="auto"/>
        <w:ind w:left="0" w:right="23" w:firstLine="0"/>
        <w:rPr>
          <w:bCs/>
          <w:szCs w:val="22"/>
        </w:rPr>
      </w:pPr>
    </w:p>
    <w:p w14:paraId="4E7721E8" w14:textId="1A99A112" w:rsidR="003C6C63" w:rsidRDefault="00000000" w:rsidP="00F81B1B">
      <w:pPr>
        <w:spacing w:after="30" w:line="263" w:lineRule="auto"/>
        <w:ind w:left="0" w:right="22" w:firstLine="0"/>
        <w:jc w:val="both"/>
      </w:pPr>
      <w:r>
        <w:rPr>
          <w:b/>
          <w:sz w:val="28"/>
        </w:rPr>
        <w:t xml:space="preserve">NZP is a high-leverage, high-value ERP measure </w:t>
      </w:r>
    </w:p>
    <w:p w14:paraId="33BB1F34" w14:textId="10DF3991" w:rsidR="0007288E" w:rsidRPr="0056325B" w:rsidRDefault="00000000" w:rsidP="00797CE0">
      <w:pPr>
        <w:spacing w:after="111"/>
        <w:ind w:left="10" w:right="129"/>
        <w:rPr>
          <w:b/>
          <w:sz w:val="24"/>
        </w:rPr>
      </w:pPr>
      <w:r w:rsidRPr="0056325B">
        <w:rPr>
          <w:sz w:val="24"/>
        </w:rPr>
        <w:t xml:space="preserve">The current 2030 ERP invests $9.1 billion in 117 measures and strategies across all sectors of the economy. Allocations for key measures range from $25 million to $2.2 billion. Successfully integrating NZP into all levels of government </w:t>
      </w:r>
      <w:r w:rsidR="0064482B" w:rsidRPr="0056325B">
        <w:rPr>
          <w:sz w:val="24"/>
        </w:rPr>
        <w:t xml:space="preserve">in Canada </w:t>
      </w:r>
      <w:r w:rsidRPr="0056325B">
        <w:rPr>
          <w:sz w:val="24"/>
        </w:rPr>
        <w:t xml:space="preserve">with speed and scale </w:t>
      </w:r>
      <w:r w:rsidR="00797CE0" w:rsidRPr="0056325B">
        <w:rPr>
          <w:sz w:val="24"/>
        </w:rPr>
        <w:t xml:space="preserve">will </w:t>
      </w:r>
      <w:r w:rsidRPr="0056325B">
        <w:rPr>
          <w:sz w:val="24"/>
        </w:rPr>
        <w:t xml:space="preserve">require </w:t>
      </w:r>
      <w:r w:rsidRPr="0056325B">
        <w:rPr>
          <w:b/>
          <w:sz w:val="24"/>
        </w:rPr>
        <w:t>$30-$50 million</w:t>
      </w:r>
      <w:r w:rsidR="00C64021">
        <w:rPr>
          <w:b/>
          <w:sz w:val="24"/>
        </w:rPr>
        <w:t xml:space="preserve"> </w:t>
      </w:r>
      <w:r w:rsidR="00C64021" w:rsidRPr="00C64021">
        <w:rPr>
          <w:bCs/>
          <w:sz w:val="24"/>
        </w:rPr>
        <w:t>to:</w:t>
      </w:r>
    </w:p>
    <w:p w14:paraId="73769F76" w14:textId="5EB03CED" w:rsidR="001E6F51" w:rsidRPr="001E6F51" w:rsidRDefault="001E6F51" w:rsidP="001E6F51">
      <w:pPr>
        <w:pStyle w:val="ListParagraph"/>
        <w:numPr>
          <w:ilvl w:val="0"/>
          <w:numId w:val="4"/>
        </w:numPr>
        <w:rPr>
          <w:sz w:val="24"/>
        </w:rPr>
      </w:pPr>
      <w:r w:rsidRPr="001E6F51">
        <w:rPr>
          <w:sz w:val="24"/>
        </w:rPr>
        <w:t xml:space="preserve">Help governments subscribe to an </w:t>
      </w:r>
      <w:r w:rsidRPr="001E6F51">
        <w:rPr>
          <w:i/>
          <w:iCs/>
          <w:sz w:val="24"/>
        </w:rPr>
        <w:t>online supplier questionnaire platform</w:t>
      </w:r>
      <w:r w:rsidRPr="001E6F51">
        <w:rPr>
          <w:b/>
          <w:bCs/>
          <w:i/>
          <w:iCs/>
          <w:sz w:val="24"/>
        </w:rPr>
        <w:t xml:space="preserve"> </w:t>
      </w:r>
      <w:r w:rsidRPr="001E6F51">
        <w:rPr>
          <w:sz w:val="24"/>
        </w:rPr>
        <w:t>that meets criteria for provider credentials, question topics, supplier support, buyer support, and pricing.</w:t>
      </w:r>
    </w:p>
    <w:p w14:paraId="28D06662" w14:textId="77777777" w:rsidR="001E6F51" w:rsidRPr="001E6F51" w:rsidRDefault="001E6F51" w:rsidP="001E6F51">
      <w:pPr>
        <w:pStyle w:val="ListParagraph"/>
        <w:numPr>
          <w:ilvl w:val="0"/>
          <w:numId w:val="4"/>
        </w:numPr>
        <w:rPr>
          <w:sz w:val="24"/>
        </w:rPr>
      </w:pPr>
      <w:r w:rsidRPr="001E6F51">
        <w:rPr>
          <w:sz w:val="24"/>
        </w:rPr>
        <w:t xml:space="preserve">Arrange for the </w:t>
      </w:r>
      <w:r w:rsidRPr="001E6F51">
        <w:rPr>
          <w:i/>
          <w:iCs/>
          <w:sz w:val="24"/>
        </w:rPr>
        <w:t>Supplier Support Hub</w:t>
      </w:r>
      <w:r w:rsidRPr="001E6F51">
        <w:rPr>
          <w:sz w:val="24"/>
        </w:rPr>
        <w:t xml:space="preserve"> to help suppliers with the questionnaire, setting targets, and reducing GHGs. </w:t>
      </w:r>
    </w:p>
    <w:p w14:paraId="5DF48276" w14:textId="77777777" w:rsidR="001E6F51" w:rsidRPr="001E6F51" w:rsidRDefault="001E6F51" w:rsidP="001E6F51">
      <w:pPr>
        <w:pStyle w:val="ListParagraph"/>
        <w:numPr>
          <w:ilvl w:val="0"/>
          <w:numId w:val="4"/>
        </w:numPr>
        <w:rPr>
          <w:sz w:val="24"/>
        </w:rPr>
      </w:pPr>
      <w:r w:rsidRPr="001E6F51">
        <w:rPr>
          <w:sz w:val="24"/>
        </w:rPr>
        <w:t xml:space="preserve">Provide necessary and appropriate </w:t>
      </w:r>
      <w:r w:rsidRPr="001E6F51">
        <w:rPr>
          <w:i/>
          <w:iCs/>
          <w:sz w:val="24"/>
        </w:rPr>
        <w:t>support / incentives</w:t>
      </w:r>
      <w:r w:rsidRPr="001E6F51">
        <w:rPr>
          <w:sz w:val="24"/>
        </w:rPr>
        <w:t xml:space="preserve"> to all stakeholders. </w:t>
      </w:r>
    </w:p>
    <w:p w14:paraId="083DBFF0" w14:textId="77777777" w:rsidR="001E6F51" w:rsidRPr="001E6F51" w:rsidRDefault="001E6F51" w:rsidP="001E6F51">
      <w:pPr>
        <w:pStyle w:val="ListParagraph"/>
        <w:numPr>
          <w:ilvl w:val="0"/>
          <w:numId w:val="4"/>
        </w:numPr>
        <w:rPr>
          <w:sz w:val="24"/>
        </w:rPr>
      </w:pPr>
      <w:r w:rsidRPr="001E6F51">
        <w:rPr>
          <w:sz w:val="24"/>
        </w:rPr>
        <w:t xml:space="preserve">Refine the </w:t>
      </w:r>
      <w:r w:rsidRPr="001E6F51">
        <w:rPr>
          <w:i/>
          <w:iCs/>
          <w:sz w:val="24"/>
        </w:rPr>
        <w:t>NZP Toolkit</w:t>
      </w:r>
      <w:r w:rsidRPr="001E6F51">
        <w:rPr>
          <w:b/>
          <w:bCs/>
          <w:i/>
          <w:iCs/>
          <w:sz w:val="24"/>
        </w:rPr>
        <w:t xml:space="preserve"> </w:t>
      </w:r>
      <w:r w:rsidRPr="001E6F51">
        <w:rPr>
          <w:sz w:val="24"/>
        </w:rPr>
        <w:t>and deploy it in other jurisdictions – a leadership opportunity for Canada at the next COP.</w:t>
      </w:r>
    </w:p>
    <w:p w14:paraId="42D8CDD0" w14:textId="4C369AFF" w:rsidR="003C6C63" w:rsidRDefault="00E33EDD" w:rsidP="00FF2B34">
      <w:pPr>
        <w:spacing w:after="10"/>
        <w:ind w:left="-5"/>
      </w:pPr>
      <w:r>
        <w:rPr>
          <w:noProof/>
        </w:rPr>
        <w:t>This funding</w:t>
      </w:r>
      <w:r w:rsidR="00E1374A">
        <w:t xml:space="preserve"> ensure</w:t>
      </w:r>
      <w:r>
        <w:t>s</w:t>
      </w:r>
      <w:r w:rsidR="00E1374A">
        <w:t xml:space="preserve"> that NZP </w:t>
      </w:r>
      <w:r w:rsidR="00773591">
        <w:t xml:space="preserve">deployment throughout all levels of government </w:t>
      </w:r>
      <w:r w:rsidR="00E1374A">
        <w:t xml:space="preserve">will be one of the most effective </w:t>
      </w:r>
      <w:r w:rsidR="00A85BC4">
        <w:t xml:space="preserve">revitalized </w:t>
      </w:r>
      <w:r w:rsidR="00E1374A">
        <w:t xml:space="preserve">ERP measures. </w:t>
      </w:r>
      <w:r w:rsidR="007508F1">
        <w:t>Attaining Canada’s GHG</w:t>
      </w:r>
      <w:r w:rsidR="0046391A">
        <w:t xml:space="preserve"> emissions</w:t>
      </w:r>
      <w:r w:rsidR="007508F1">
        <w:t xml:space="preserve"> reduction targets without</w:t>
      </w:r>
      <w:r w:rsidR="00154641">
        <w:t xml:space="preserve"> NZP</w:t>
      </w:r>
      <w:r w:rsidR="007508F1">
        <w:t xml:space="preserve"> </w:t>
      </w:r>
      <w:r w:rsidR="00773591">
        <w:t>is problematic.</w:t>
      </w:r>
    </w:p>
    <w:sectPr w:rsidR="003C6C63" w:rsidSect="00035C6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43" w:right="1174" w:bottom="623" w:left="907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3EB3" w14:textId="77777777" w:rsidR="00A0364F" w:rsidRDefault="00A0364F" w:rsidP="004B545D">
      <w:pPr>
        <w:spacing w:after="0" w:line="240" w:lineRule="auto"/>
      </w:pPr>
      <w:r>
        <w:separator/>
      </w:r>
    </w:p>
  </w:endnote>
  <w:endnote w:type="continuationSeparator" w:id="0">
    <w:p w14:paraId="73B055FD" w14:textId="77777777" w:rsidR="00A0364F" w:rsidRDefault="00A0364F" w:rsidP="004B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02E6" w14:textId="77777777" w:rsidR="00F9398A" w:rsidRDefault="00F93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A9AF" w14:textId="419F84F1" w:rsidR="00F9398A" w:rsidRDefault="00F9398A" w:rsidP="00F9398A">
    <w:pPr>
      <w:pStyle w:val="Footer"/>
      <w:jc w:val="center"/>
    </w:pPr>
    <w:r>
      <w:rPr>
        <w:noProof/>
      </w:rPr>
      <w:drawing>
        <wp:inline distT="0" distB="0" distL="0" distR="0" wp14:anchorId="1FBBE6E5" wp14:editId="34A41BB4">
          <wp:extent cx="1092198" cy="273050"/>
          <wp:effectExtent l="0" t="0" r="0" b="0"/>
          <wp:docPr id="15" name="Picture 14">
            <a:extLst xmlns:a="http://schemas.openxmlformats.org/drawingml/2006/main">
              <a:ext uri="{FF2B5EF4-FFF2-40B4-BE49-F238E27FC236}">
                <a16:creationId xmlns:a16="http://schemas.microsoft.com/office/drawing/2014/main" id="{727896B9-2B14-CB07-E00B-1820C00A1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>
                    <a:extLst>
                      <a:ext uri="{FF2B5EF4-FFF2-40B4-BE49-F238E27FC236}">
                        <a16:creationId xmlns:a16="http://schemas.microsoft.com/office/drawing/2014/main" id="{727896B9-2B14-CB07-E00B-1820C00A1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6430" cy="27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E8CD" w14:textId="77777777" w:rsidR="00F9398A" w:rsidRDefault="00F939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7287" w14:textId="77777777" w:rsidR="00A0364F" w:rsidRDefault="00A0364F" w:rsidP="004B545D">
      <w:pPr>
        <w:spacing w:after="0" w:line="240" w:lineRule="auto"/>
      </w:pPr>
      <w:r>
        <w:separator/>
      </w:r>
    </w:p>
  </w:footnote>
  <w:footnote w:type="continuationSeparator" w:id="0">
    <w:p w14:paraId="31BAE4A6" w14:textId="77777777" w:rsidR="00A0364F" w:rsidRDefault="00A0364F" w:rsidP="004B5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E172" w14:textId="77777777" w:rsidR="00F9398A" w:rsidRDefault="00F93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D0A3" w14:textId="089F1173" w:rsidR="004B545D" w:rsidRDefault="004B545D" w:rsidP="004B545D">
    <w:pPr>
      <w:pStyle w:val="Header"/>
      <w:jc w:val="center"/>
    </w:pPr>
    <w:r w:rsidRPr="004B545D">
      <w:t>BRIEFING NOTE</w:t>
    </w:r>
  </w:p>
  <w:p w14:paraId="0F6BF52D" w14:textId="77777777" w:rsidR="00CD1E32" w:rsidRDefault="00CD1E32" w:rsidP="004B545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C76A" w14:textId="77777777" w:rsidR="00F9398A" w:rsidRDefault="00F93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08D8"/>
    <w:multiLevelType w:val="hybridMultilevel"/>
    <w:tmpl w:val="E7543A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42A9"/>
    <w:multiLevelType w:val="hybridMultilevel"/>
    <w:tmpl w:val="21B44180"/>
    <w:lvl w:ilvl="0" w:tplc="2D4E7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0C2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6ED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2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F2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5016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C9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323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9E94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00017"/>
    <w:multiLevelType w:val="hybridMultilevel"/>
    <w:tmpl w:val="63FC1E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13578"/>
    <w:multiLevelType w:val="hybridMultilevel"/>
    <w:tmpl w:val="F9E6A54A"/>
    <w:lvl w:ilvl="0" w:tplc="847AAEA2">
      <w:start w:val="1"/>
      <w:numFmt w:val="bullet"/>
      <w:lvlText w:val="•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E61802">
      <w:start w:val="1"/>
      <w:numFmt w:val="bullet"/>
      <w:lvlText w:val="o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4BC1C">
      <w:start w:val="1"/>
      <w:numFmt w:val="bullet"/>
      <w:lvlText w:val="▪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9C4D82">
      <w:start w:val="1"/>
      <w:numFmt w:val="bullet"/>
      <w:lvlText w:val="•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58086E">
      <w:start w:val="1"/>
      <w:numFmt w:val="bullet"/>
      <w:lvlText w:val="o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4C52C2">
      <w:start w:val="1"/>
      <w:numFmt w:val="bullet"/>
      <w:lvlText w:val="▪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4C27F6">
      <w:start w:val="1"/>
      <w:numFmt w:val="bullet"/>
      <w:lvlText w:val="•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D86938">
      <w:start w:val="1"/>
      <w:numFmt w:val="bullet"/>
      <w:lvlText w:val="o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A8B10">
      <w:start w:val="1"/>
      <w:numFmt w:val="bullet"/>
      <w:lvlText w:val="▪"/>
      <w:lvlJc w:val="left"/>
      <w:pPr>
        <w:ind w:left="6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2EB7AA5"/>
    <w:multiLevelType w:val="hybridMultilevel"/>
    <w:tmpl w:val="B92EA212"/>
    <w:lvl w:ilvl="0" w:tplc="1966D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F456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CA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3CF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8B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FAC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38A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8D7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0FB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F93AF1"/>
    <w:multiLevelType w:val="hybridMultilevel"/>
    <w:tmpl w:val="DC600D8C"/>
    <w:lvl w:ilvl="0" w:tplc="FB160F6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2425C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52562C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827C2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840F6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DCCC3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7A13D8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321BDC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A6A59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4967115">
    <w:abstractNumId w:val="5"/>
  </w:num>
  <w:num w:numId="2" w16cid:durableId="1728723038">
    <w:abstractNumId w:val="3"/>
  </w:num>
  <w:num w:numId="3" w16cid:durableId="1982298478">
    <w:abstractNumId w:val="2"/>
  </w:num>
  <w:num w:numId="4" w16cid:durableId="846596416">
    <w:abstractNumId w:val="0"/>
  </w:num>
  <w:num w:numId="5" w16cid:durableId="1927692232">
    <w:abstractNumId w:val="4"/>
  </w:num>
  <w:num w:numId="6" w16cid:durableId="1118334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63"/>
    <w:rsid w:val="00012EE1"/>
    <w:rsid w:val="000141E7"/>
    <w:rsid w:val="000155D3"/>
    <w:rsid w:val="00035A43"/>
    <w:rsid w:val="00035C6B"/>
    <w:rsid w:val="00054988"/>
    <w:rsid w:val="0007288E"/>
    <w:rsid w:val="000748A5"/>
    <w:rsid w:val="00077245"/>
    <w:rsid w:val="00077EAA"/>
    <w:rsid w:val="000A0A85"/>
    <w:rsid w:val="000C7D34"/>
    <w:rsid w:val="000D5A1E"/>
    <w:rsid w:val="001007FB"/>
    <w:rsid w:val="00123B94"/>
    <w:rsid w:val="00141C79"/>
    <w:rsid w:val="00147912"/>
    <w:rsid w:val="00154641"/>
    <w:rsid w:val="00172805"/>
    <w:rsid w:val="001A63B3"/>
    <w:rsid w:val="001A6B65"/>
    <w:rsid w:val="001B17F8"/>
    <w:rsid w:val="001E6F51"/>
    <w:rsid w:val="001F2439"/>
    <w:rsid w:val="001F263F"/>
    <w:rsid w:val="001F5849"/>
    <w:rsid w:val="00204C14"/>
    <w:rsid w:val="00213E3E"/>
    <w:rsid w:val="00215F7E"/>
    <w:rsid w:val="00223049"/>
    <w:rsid w:val="00243633"/>
    <w:rsid w:val="0027182E"/>
    <w:rsid w:val="00286CCD"/>
    <w:rsid w:val="002B07AA"/>
    <w:rsid w:val="002C2C8C"/>
    <w:rsid w:val="002D38AC"/>
    <w:rsid w:val="002D6C5B"/>
    <w:rsid w:val="00361010"/>
    <w:rsid w:val="00363CCC"/>
    <w:rsid w:val="00374975"/>
    <w:rsid w:val="003A4739"/>
    <w:rsid w:val="003C2F26"/>
    <w:rsid w:val="003C6C63"/>
    <w:rsid w:val="003E4703"/>
    <w:rsid w:val="003F5BD4"/>
    <w:rsid w:val="003F73E3"/>
    <w:rsid w:val="003F7C74"/>
    <w:rsid w:val="00413793"/>
    <w:rsid w:val="00442EF9"/>
    <w:rsid w:val="00451CB5"/>
    <w:rsid w:val="00452303"/>
    <w:rsid w:val="0046391A"/>
    <w:rsid w:val="00491359"/>
    <w:rsid w:val="004B545D"/>
    <w:rsid w:val="004C7938"/>
    <w:rsid w:val="004F4E87"/>
    <w:rsid w:val="00501186"/>
    <w:rsid w:val="00520E9B"/>
    <w:rsid w:val="0056325B"/>
    <w:rsid w:val="00572C66"/>
    <w:rsid w:val="00581620"/>
    <w:rsid w:val="00586069"/>
    <w:rsid w:val="005D7ADC"/>
    <w:rsid w:val="005E035F"/>
    <w:rsid w:val="005E0A3F"/>
    <w:rsid w:val="005F54AE"/>
    <w:rsid w:val="00606FB9"/>
    <w:rsid w:val="00613880"/>
    <w:rsid w:val="0064482B"/>
    <w:rsid w:val="006470D0"/>
    <w:rsid w:val="0066763C"/>
    <w:rsid w:val="0069214E"/>
    <w:rsid w:val="006F28E8"/>
    <w:rsid w:val="007008B6"/>
    <w:rsid w:val="00711734"/>
    <w:rsid w:val="007508F1"/>
    <w:rsid w:val="0075793B"/>
    <w:rsid w:val="00773591"/>
    <w:rsid w:val="00775616"/>
    <w:rsid w:val="00780A8A"/>
    <w:rsid w:val="007878AF"/>
    <w:rsid w:val="007933F9"/>
    <w:rsid w:val="00797CE0"/>
    <w:rsid w:val="007D5DBF"/>
    <w:rsid w:val="007E05E9"/>
    <w:rsid w:val="00824727"/>
    <w:rsid w:val="00842A6C"/>
    <w:rsid w:val="00853956"/>
    <w:rsid w:val="008618CD"/>
    <w:rsid w:val="008A07D3"/>
    <w:rsid w:val="008C13B9"/>
    <w:rsid w:val="008D52EE"/>
    <w:rsid w:val="008F4582"/>
    <w:rsid w:val="009600B2"/>
    <w:rsid w:val="0099629F"/>
    <w:rsid w:val="009A0536"/>
    <w:rsid w:val="009C4FA3"/>
    <w:rsid w:val="009D5835"/>
    <w:rsid w:val="009D6862"/>
    <w:rsid w:val="00A0364F"/>
    <w:rsid w:val="00A15A02"/>
    <w:rsid w:val="00A239D7"/>
    <w:rsid w:val="00A2665E"/>
    <w:rsid w:val="00A321AF"/>
    <w:rsid w:val="00A51202"/>
    <w:rsid w:val="00A85BC4"/>
    <w:rsid w:val="00AA7AEF"/>
    <w:rsid w:val="00AB32A5"/>
    <w:rsid w:val="00AB4B08"/>
    <w:rsid w:val="00AE7718"/>
    <w:rsid w:val="00AF457E"/>
    <w:rsid w:val="00B016D0"/>
    <w:rsid w:val="00B02AF8"/>
    <w:rsid w:val="00B51EEF"/>
    <w:rsid w:val="00B74A96"/>
    <w:rsid w:val="00B76064"/>
    <w:rsid w:val="00BD6B68"/>
    <w:rsid w:val="00BE0D57"/>
    <w:rsid w:val="00BE44D3"/>
    <w:rsid w:val="00BF43FC"/>
    <w:rsid w:val="00C245A7"/>
    <w:rsid w:val="00C44B41"/>
    <w:rsid w:val="00C53245"/>
    <w:rsid w:val="00C607F2"/>
    <w:rsid w:val="00C64021"/>
    <w:rsid w:val="00CC2A0D"/>
    <w:rsid w:val="00CC525F"/>
    <w:rsid w:val="00CC69D1"/>
    <w:rsid w:val="00CD1E32"/>
    <w:rsid w:val="00CE0430"/>
    <w:rsid w:val="00D0604F"/>
    <w:rsid w:val="00D07CF7"/>
    <w:rsid w:val="00D3483D"/>
    <w:rsid w:val="00D37A8C"/>
    <w:rsid w:val="00D37D18"/>
    <w:rsid w:val="00D43957"/>
    <w:rsid w:val="00D67989"/>
    <w:rsid w:val="00DC236B"/>
    <w:rsid w:val="00DC52FD"/>
    <w:rsid w:val="00DC698D"/>
    <w:rsid w:val="00E1374A"/>
    <w:rsid w:val="00E33EDD"/>
    <w:rsid w:val="00E51BEC"/>
    <w:rsid w:val="00E55877"/>
    <w:rsid w:val="00E5709E"/>
    <w:rsid w:val="00E8166F"/>
    <w:rsid w:val="00F06AE2"/>
    <w:rsid w:val="00F17EE9"/>
    <w:rsid w:val="00F615C7"/>
    <w:rsid w:val="00F61B65"/>
    <w:rsid w:val="00F81B1B"/>
    <w:rsid w:val="00F820B0"/>
    <w:rsid w:val="00F9398A"/>
    <w:rsid w:val="00FC438F"/>
    <w:rsid w:val="00FE622C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53E15"/>
  <w15:docId w15:val="{134513BE-7899-48FC-A0DE-AB2288A3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4" w:line="249" w:lineRule="auto"/>
      <w:ind w:left="281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3" w:line="259" w:lineRule="auto"/>
      <w:ind w:left="105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4B5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45D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B5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45D"/>
    <w:rPr>
      <w:rFonts w:ascii="Calibri" w:eastAsia="Calibri" w:hAnsi="Calibri" w:cs="Calibri"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3F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services/environment/weather/climatechange/climate-plan/climate-plan-overview/emissions-reduction-2030.html" TargetMode="External"/><Relationship Id="rId13" Type="http://schemas.openxmlformats.org/officeDocument/2006/relationships/hyperlink" Target="https://sustainabilityadvantage.com/sp/net-zero/" TargetMode="External"/><Relationship Id="rId18" Type="http://schemas.openxmlformats.org/officeDocument/2006/relationships/hyperlink" Target="https://sustainabilityadvantage.com/sp/net-zer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canada.ca/en/services/environment/weather/climatechange/climate-plan/climate-plan-overview/emissions-reduction-2030.html" TargetMode="External"/><Relationship Id="rId12" Type="http://schemas.openxmlformats.org/officeDocument/2006/relationships/hyperlink" Target="https://sustainabilityadvantage.com/sp/net-zero/" TargetMode="External"/><Relationship Id="rId17" Type="http://schemas.openxmlformats.org/officeDocument/2006/relationships/hyperlink" Target="https://sustainabilityadvantage.com/sp/net-zero/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sustainabilityadvantage.com/sp/net-zero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nada.ca/en/services/environment/weather/climatechange/climate-plan/climate-plan-overview/emissions-reduction-2030/2023-progress-report.html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sustainabilityadvantage.com/sp/net-zero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canada.ca/en/services/environment/weather/climatechange/climate-plan/climate-plan-overview/emissions-reduction-2030/2023-progress-report.html" TargetMode="External"/><Relationship Id="rId19" Type="http://schemas.openxmlformats.org/officeDocument/2006/relationships/hyperlink" Target="https://sustainabilityadvantage.com/sp/net-ze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services/environment/weather/climatechange/climate-plan/climate-plan-overview/emissions-reduction-2030/2023-progress-report.html" TargetMode="External"/><Relationship Id="rId14" Type="http://schemas.openxmlformats.org/officeDocument/2006/relationships/hyperlink" Target="https://sustainabilityadvantage.com/sp/net-zero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Willard</dc:creator>
  <cp:keywords/>
  <cp:lastModifiedBy>Bob Willard</cp:lastModifiedBy>
  <cp:revision>2</cp:revision>
  <dcterms:created xsi:type="dcterms:W3CDTF">2025-09-05T18:32:00Z</dcterms:created>
  <dcterms:modified xsi:type="dcterms:W3CDTF">2025-09-05T18:32:00Z</dcterms:modified>
</cp:coreProperties>
</file>